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8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MACNAB CRAIG</w:t>
              </w:r>
            </w:hyperlink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VICI PROPERTIES INC.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VICI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50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6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07/01/2026</w:t>
            </w: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8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VICI PROPERTIES INC.</w:t>
            </w: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535 MADISON AVENUE, 28TH FLOOR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10022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07/01/2026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93"/>
                <w:vertAlign w:val="subscript"/>
              </w:rPr>
              <w:t>500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(1)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82,164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 w:right="42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On July 1, 2026, the Reporting Person was granted 500 shares of common stock under the VICI Properties Inc. 2017 Stock Incentive Plan, consisting of shares issuable in respect of a portion of the Reporting Person's annual committee retainer fee.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Samantha Sacks Gallagher,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33350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as attorney-in-fact for Craig</w:t>
        <w:tab/>
        <w:t>07/01/2026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Macnab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35433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43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020280" TargetMode="External"/><Relationship Id="rId14" Type="http://schemas.openxmlformats.org/officeDocument/2006/relationships/hyperlink" Target="http://www.sec.gov/cgi-bin/browse-edgar?action=getcompany&amp;CIK=000170569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2026-07-01T15:57:51Z</dcterms:created>
  <dcterms:modified xsi:type="dcterms:W3CDTF">2026-07-01T15:57:51Z</dcterms:modified>
</cp:coreProperties>
</file>